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3ABFD" w14:textId="742660DF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Fonts w:ascii="Noto Sans" w:hAnsi="Noto Sans" w:cs="Noto Sans"/>
          <w:rStyle w:val="eop"/>
          <w:sz w:val="36"/>
          <w:szCs w:val="36"/>
        </w:rPr>
        <w:t xml:space="preserve"> </w:t>
      </w:r>
      <w:r>
        <w:rPr>
          <w:rFonts w:ascii="Segoe UI" w:hAnsi="Segoe UI" w:cs="Segoe UI"/>
          <w:sz w:val="18"/>
          <w:szCs w:val="18"/>
        </w:rPr>
        <w:br/>
      </w:r>
      <w:r>
        <w:rPr>
          <w:rFonts w:ascii="Noto Sans" w:hAnsi="Noto Sans" w:cs="Noto Sans"/>
          <w:rStyle w:val="normaltextrun"/>
          <w:b/>
          <w:bCs/>
          <w:sz w:val="36"/>
          <w:szCs w:val="36"/>
        </w:rPr>
        <w:t xml:space="preserve">Vakuumsysteme: Ein Leitfaden für schlüsselfertige Projekte</w:t>
      </w:r>
      <w:r>
        <w:rPr>
          <w:rFonts w:ascii="Noto Sans" w:hAnsi="Noto Sans" w:cs="Noto Sans"/>
          <w:rStyle w:val="eop"/>
          <w:sz w:val="36"/>
          <w:szCs w:val="36"/>
        </w:rPr>
        <w:t xml:space="preserve"> </w:t>
      </w:r>
    </w:p>
    <w:p w14:paraId="0AD9ED51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 w:rsidRPr="00B763FE">
        <w:rPr>
          <w:rStyle w:val="eop"/>
          <w:rFonts w:ascii="Noto Sans" w:hAnsi="Noto Sans" w:cs="Noto Sans"/>
          <w:sz w:val="22"/>
          <w:szCs w:val="22"/>
          <w:lang w:val="en-US"/>
        </w:rPr>
        <w:t> </w:t>
      </w:r>
    </w:p>
    <w:p w14:paraId="6571FF2F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</w:rPr>
        <w:t xml:space="preserve">Bei der Implementierung von Vakuumsystemen in industriellen Umgebungen kann sich Ihr Vorgehen erheblich auf die Effizienz, die Kosten und den Erfolg Ihres Projekts auswirken.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Schlüsselfertige Projekte stellen eine schlanke Lösung dar, bei der der Gesamtprozess, von der Konzeption bis zur Fertigstellung, von nur einem Unternehmen verwaltet wird.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Dies bietet zahlreiche Vorteile, es gilt jedoch auch mögliche Nachteile zu berücksichtigen und zu bedenken, wie diese abgemildert werden können.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In diesem Leitfaden erfahren Sie, wie Sie die Vorteile eines schlüsselfertigen Vakuumsystem-Projekts für sich nutzen und gleichzeitig potenzielle Nachteile begrenzen können.</w:t>
      </w:r>
      <w:r>
        <w:rPr>
          <w:rFonts w:ascii="Noto Sans" w:hAnsi="Noto Sans" w:cs="Noto Sans"/>
          <w:rStyle w:val="normaltextrun"/>
        </w:rPr>
        <w:t xml:space="preserve"> </w:t>
      </w:r>
      <w:r>
        <w:rPr>
          <w:rFonts w:ascii="Noto Sans" w:hAnsi="Noto Sans" w:cs="Noto Sans"/>
          <w:rStyle w:val="eop"/>
        </w:rPr>
        <w:t xml:space="preserve"> </w:t>
      </w:r>
    </w:p>
    <w:p w14:paraId="6157A835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 w:rsidRPr="00B763FE">
        <w:rPr>
          <w:rStyle w:val="eop"/>
          <w:rFonts w:ascii="Noto Sans" w:hAnsi="Noto Sans" w:cs="Noto Sans"/>
          <w:sz w:val="22"/>
          <w:szCs w:val="22"/>
          <w:lang w:val="en-US"/>
        </w:rPr>
        <w:t> </w:t>
      </w:r>
    </w:p>
    <w:p w14:paraId="7ADCD5F0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Fonts w:ascii="Noto Sans" w:hAnsi="Noto Sans" w:cs="Noto Sans"/>
          <w:rStyle w:val="normaltextrun"/>
          <w:b/>
          <w:bCs/>
          <w:sz w:val="28"/>
          <w:szCs w:val="28"/>
        </w:rPr>
        <w:t xml:space="preserve">Vorteile schlüsselfertiger Projekte</w:t>
      </w:r>
    </w:p>
    <w:p w14:paraId="05084C7B" w14:textId="7D631AD6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  <w:b/>
          <w:bCs/>
        </w:rPr>
        <w:br/>
        <w:t xml:space="preserve">Alles aus einer Hand</w:t>
      </w:r>
    </w:p>
    <w:p w14:paraId="2A6ABA90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</w:rPr>
        <w:t xml:space="preserve">Schlüsselfertige Projekte sind komfortabel, denn Kunden müssen nur mit einem Unternehmen zusammenarbeiten und sparen sich so die Koordination mehrerer Lieferanten und Auftragnehmer.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Dadurch gewinnen sie Zeit, schaffen Klarheit und optimieren den Projektablauf.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Im Rahmen eines schlüsselfertigen Projekts sollte Ihr Lieferant als alleiniger Ansprechpartner fungieren und so eine kohärente und nahtlose Erfahrung vom Projektstart bis zum Abschluss gewährleisten.</w:t>
      </w:r>
      <w:r>
        <w:rPr>
          <w:rFonts w:ascii="Noto Sans" w:hAnsi="Noto Sans" w:cs="Noto Sans"/>
          <w:rStyle w:val="eop"/>
        </w:rPr>
        <w:t xml:space="preserve"> </w:t>
      </w:r>
    </w:p>
    <w:p w14:paraId="5B8402C6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 w:rsidRPr="00B763FE">
        <w:rPr>
          <w:rStyle w:val="eop"/>
          <w:rFonts w:ascii="Noto Sans" w:hAnsi="Noto Sans" w:cs="Noto Sans"/>
          <w:lang w:val="en-US"/>
        </w:rPr>
        <w:t> </w:t>
      </w:r>
    </w:p>
    <w:p w14:paraId="726B4550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  <w:b/>
          <w:bCs/>
        </w:rPr>
        <w:t xml:space="preserve">Geringere Kosten</w:t>
      </w:r>
    </w:p>
    <w:p w14:paraId="184EF0AC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</w:rPr>
        <w:t xml:space="preserve">Schlüsselfertige Projekte führen oft zu geringeren Kosten, da Lösungsanbieter in der Regel über gute Beziehungen zu Lieferanten und eine höhere Kaufkraft verfügen, wodurch sie bessere Preise aushandeln können.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Darüber hinaus tragen schlüsselfertige Projekte mit festem Kostenrahmen dazu bei, finanzielle Unsicherheiten zu mindern.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Suchen Sie nach einem Lieferanten, der kostengünstige Lösungen anbieten kann, indem er alle Aspekte des Projekts zum Festpreis abwickelt.</w:t>
      </w:r>
      <w:r>
        <w:rPr>
          <w:rFonts w:ascii="Noto Sans" w:hAnsi="Noto Sans" w:cs="Noto Sans"/>
          <w:rStyle w:val="eop"/>
        </w:rPr>
        <w:t xml:space="preserve"> </w:t>
      </w:r>
    </w:p>
    <w:p w14:paraId="2773AB76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 w:rsidRPr="00B763FE">
        <w:rPr>
          <w:rStyle w:val="eop"/>
          <w:rFonts w:ascii="Noto Sans" w:hAnsi="Noto Sans" w:cs="Noto Sans"/>
          <w:lang w:val="en-US"/>
        </w:rPr>
        <w:t> </w:t>
      </w:r>
    </w:p>
    <w:p w14:paraId="1B859174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  <w:b/>
          <w:bCs/>
        </w:rPr>
        <w:t xml:space="preserve">Schnellere Durchführung</w:t>
      </w:r>
    </w:p>
    <w:p w14:paraId="57F00176" w14:textId="2E066D70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</w:rPr>
        <w:t xml:space="preserve">Schlüsselfertige Projekte lassen sich in der Regel schneller abschließen, da Auslegung, Beschaffung und Bau gleichzeitig erfolgen können.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So können Kunden früher von ihrer Investition profitieren.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Mit umfassenden Projektmanagement-Fähigkeiten trägt der Lieferant zu verkürzten Projektlaufzeiten bei und liefert gleichzeitig effizient Ergebnisse.</w:t>
      </w:r>
      <w:r>
        <w:rPr>
          <w:rFonts w:ascii="Noto Sans" w:hAnsi="Noto Sans" w:cs="Noto Sans"/>
          <w:rStyle w:val="eop"/>
        </w:rPr>
        <w:t xml:space="preserve"> </w:t>
      </w:r>
    </w:p>
    <w:p w14:paraId="2D74DDEA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 w:rsidRPr="00B763FE">
        <w:rPr>
          <w:rStyle w:val="eop"/>
          <w:rFonts w:ascii="Noto Sans" w:hAnsi="Noto Sans" w:cs="Noto Sans"/>
          <w:lang w:val="en-US"/>
        </w:rPr>
        <w:t> </w:t>
      </w:r>
    </w:p>
    <w:p w14:paraId="77722FDF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  <w:b/>
          <w:bCs/>
        </w:rPr>
        <w:t xml:space="preserve">Höhere Qualität</w:t>
      </w:r>
    </w:p>
    <w:p w14:paraId="72A3845B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</w:rPr>
        <w:t xml:space="preserve">Schlüsselfertige Projekte führen oft zu einer höheren Qualität, da das verantwortliche Unternehmen sowohl die Auslegung als auch den Bau steuert; dadurch können Missverständnisse oder Fehler minimiert werden, die häufig bei Beteiligung mehrerer Anbieter auftreten.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Dank dieser umfassenden Steuerung erfüllt das finale System konsequent die Kundenerwartungen bzw. übertrifft diese oft sogar; es wird also ein Vakuumsystem von herausragender Qualität geliefert.</w:t>
      </w:r>
      <w:r>
        <w:rPr>
          <w:rFonts w:ascii="Noto Sans" w:hAnsi="Noto Sans" w:cs="Noto Sans"/>
          <w:rStyle w:val="eop"/>
        </w:rPr>
        <w:t xml:space="preserve"> </w:t>
      </w:r>
    </w:p>
    <w:p w14:paraId="06198B20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 w:rsidRPr="00B763FE">
        <w:rPr>
          <w:rStyle w:val="eop"/>
          <w:rFonts w:ascii="Noto Sans" w:hAnsi="Noto Sans" w:cs="Noto Sans"/>
          <w:lang w:val="en-US"/>
        </w:rPr>
        <w:lastRenderedPageBreak/>
        <w:t> </w:t>
      </w:r>
    </w:p>
    <w:p w14:paraId="1CFB0C0A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  <w:b/>
          <w:bCs/>
        </w:rPr>
        <w:t xml:space="preserve">Ein zentraler Verantwortlicher</w:t>
      </w:r>
    </w:p>
    <w:p w14:paraId="6609A50F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</w:rPr>
        <w:t xml:space="preserve">Da nur ein Unternehmen für die fertige Anlage verantwortlich ist, ist das Risiko von gegenseitigen Schuldzuweisungen gering.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Ihr Lieferant sollte die volle Verantwortung für die Projektergebnisse übernehmen und als zuverlässiger Ansprechpartner für alle auftretenden Probleme fungieren, sodass Sie voll auf ihn vertrauen können.</w:t>
      </w:r>
      <w:r>
        <w:rPr>
          <w:rFonts w:ascii="Noto Sans" w:hAnsi="Noto Sans" w:cs="Noto Sans"/>
          <w:rStyle w:val="eop"/>
        </w:rPr>
        <w:t xml:space="preserve"> </w:t>
      </w:r>
    </w:p>
    <w:p w14:paraId="1B0E30F4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 w:rsidRPr="00B763FE">
        <w:rPr>
          <w:rStyle w:val="eop"/>
          <w:rFonts w:ascii="Noto Sans" w:hAnsi="Noto Sans" w:cs="Noto Sans"/>
          <w:sz w:val="22"/>
          <w:szCs w:val="22"/>
          <w:lang w:val="en-US"/>
        </w:rPr>
        <w:t> </w:t>
      </w:r>
    </w:p>
    <w:p w14:paraId="0A78C7D3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  <w:b/>
          <w:bCs/>
          <w:sz w:val="28"/>
          <w:szCs w:val="28"/>
        </w:rPr>
        <w:t xml:space="preserve">Häufige Bedenken und Missverständnisse in Bezug auf schlüsselfertige Projekte</w:t>
      </w:r>
      <w:r>
        <w:rPr>
          <w:rFonts w:ascii="Noto Sans" w:hAnsi="Noto Sans" w:cs="Noto Sans"/>
          <w:sz w:val="28"/>
          <w:szCs w:val="28"/>
        </w:rPr>
        <w:br/>
      </w:r>
      <w:r>
        <w:rPr>
          <w:rFonts w:ascii="Calibri" w:hAnsi="Calibri" w:cs="Calibri"/>
          <w:rStyle w:val="scxw166901129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Noto Sans" w:hAnsi="Noto Sans" w:cs="Noto Sans"/>
          <w:rStyle w:val="normaltextrun"/>
          <w:b/>
          <w:bCs/>
        </w:rPr>
        <w:t xml:space="preserve">Geringere Kontrolle</w:t>
      </w:r>
    </w:p>
    <w:p w14:paraId="5696B28E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</w:rPr>
        <w:t xml:space="preserve">Kunden haben manchmal das Gefühl, bei schlüsselfertigen Projekten eine geringere Kontrolle über den Auslegungs- und Bauprozess zu haben.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Ein kompetenter Lieferant sollte dem mit einer ausführlichen Beratung und Analyse entgegenwirken und so sicherstellen, dass alle Anforderungen klar sind; der anschließende Auslegungsprozess sollte kollaborativ sein, d. h., Ingenieure vor Ort entwickeln die Lösung in enger Zusammenarbeit mit dem Kunden.</w:t>
      </w:r>
      <w:r>
        <w:rPr>
          <w:rFonts w:ascii="Noto Sans" w:hAnsi="Noto Sans" w:cs="Noto Sans"/>
          <w:rStyle w:val="eop"/>
        </w:rPr>
        <w:t xml:space="preserve"> </w:t>
      </w:r>
    </w:p>
    <w:p w14:paraId="6E4CE7AC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 w:rsidRPr="00B763FE">
        <w:rPr>
          <w:rStyle w:val="eop"/>
          <w:rFonts w:ascii="Noto Sans" w:hAnsi="Noto Sans" w:cs="Noto Sans"/>
          <w:lang w:val="en-US"/>
        </w:rPr>
        <w:t> </w:t>
      </w:r>
    </w:p>
    <w:p w14:paraId="17609584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  <w:b/>
          <w:bCs/>
        </w:rPr>
        <w:t xml:space="preserve">Weniger Flexibilität</w:t>
      </w:r>
    </w:p>
    <w:p w14:paraId="6F54AF4F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</w:rPr>
        <w:t xml:space="preserve">Schlüsselfertige Projekte können weniger flexibel sein, sodass sich Änderungen im laufenden Projekt schwieriger gestalten.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Suchen Sie daher nach einem Lieferanten mit einer Projektphilosophie, in der Flexibilität Priorität hat, der zeitnahes Feedback gibt und Änderungsmöglichkeiten bietet, um das Projekt effizient voranzutreiben.</w:t>
      </w:r>
      <w:r>
        <w:rPr>
          <w:rFonts w:ascii="Noto Sans" w:hAnsi="Noto Sans" w:cs="Noto Sans"/>
          <w:rStyle w:val="eop"/>
        </w:rPr>
        <w:t xml:space="preserve"> </w:t>
      </w:r>
    </w:p>
    <w:p w14:paraId="1ED6590C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 w:rsidRPr="00B763FE">
        <w:rPr>
          <w:rStyle w:val="eop"/>
          <w:rFonts w:ascii="Noto Sans" w:hAnsi="Noto Sans" w:cs="Noto Sans"/>
          <w:lang w:val="en-US"/>
        </w:rPr>
        <w:t> </w:t>
      </w:r>
    </w:p>
    <w:p w14:paraId="2022D1D7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  <w:b/>
          <w:bCs/>
        </w:rPr>
        <w:t xml:space="preserve">Abhängigkeit vom Anbieter der schlüsselfertigen Lösung</w:t>
      </w:r>
    </w:p>
    <w:p w14:paraId="72D8EC96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</w:rPr>
        <w:t xml:space="preserve">Kunden sind darauf angewiesen, dass der Anbieter eine hochwertige und zuverlässige schlüsselfertige Lösung liefert.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Andernfalls könnten unzureichende Ergebnisse die Folge sein, oder das Projekt muss sogar komplett neu gestartet werden.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Um eine optimale Leistung Ihres Vakuumsystems zu gewährleisten, entscheiden Sie sich für einen Lieferanten mit hochqualifizierten Experten, modernen Auslegungstools und nachgewiesenen erfolgreichen Installationen für Ihre Anwendung und in Ihrer Branche.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Dies sorgt für Zuverlässigkeit und Sicherheit während des gesamten Prozesses.</w:t>
      </w:r>
      <w:r>
        <w:rPr>
          <w:rFonts w:ascii="Noto Sans" w:hAnsi="Noto Sans" w:cs="Noto Sans"/>
          <w:rStyle w:val="eop"/>
        </w:rPr>
        <w:t xml:space="preserve"> </w:t>
      </w:r>
    </w:p>
    <w:p w14:paraId="06F91B46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 w:rsidRPr="00B763FE">
        <w:rPr>
          <w:rStyle w:val="eop"/>
          <w:rFonts w:ascii="Noto Sans" w:hAnsi="Noto Sans" w:cs="Noto Sans"/>
          <w:lang w:val="en-US"/>
        </w:rPr>
        <w:t> </w:t>
      </w:r>
    </w:p>
    <w:p w14:paraId="6D076484" w14:textId="0E646801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  <w:b/>
          <w:bCs/>
        </w:rPr>
        <w:t xml:space="preserve">Kosten-Nutzen-Verhältnis bei</w:t>
      </w:r>
      <w:r>
        <w:rPr>
          <w:rFonts w:ascii="Noto Sans" w:hAnsi="Noto Sans" w:cs="Noto Sans"/>
          <w:rStyle w:val="eop"/>
        </w:rPr>
        <w:t xml:space="preserve"> </w:t>
      </w:r>
      <w:r>
        <w:rPr>
          <w:rFonts w:ascii="Noto Sans" w:hAnsi="Noto Sans" w:cs="Noto Sans"/>
          <w:rStyle w:val="eop"/>
          <w:b w:val="1"/>
          <w:bCs w:val="1"/>
        </w:rPr>
        <w:t xml:space="preserve">Fremdv</w:t>
      </w:r>
      <w:r>
        <w:rPr>
          <w:rFonts w:ascii="Noto Sans" w:hAnsi="Noto Sans" w:cs="Noto Sans"/>
          <w:rStyle w:val="normaltextrun"/>
          <w:b/>
          <w:bCs/>
        </w:rPr>
        <w:t xml:space="preserve">ergabe des Projektmanagements</w:t>
      </w:r>
      <w:r>
        <w:rPr>
          <w:rFonts w:ascii="Segoe UI" w:hAnsi="Segoe UI" w:cs="Segoe UI"/>
        </w:rPr>
        <w:br/>
      </w:r>
      <w:r>
        <w:rPr>
          <w:rFonts w:ascii="Noto Sans" w:hAnsi="Noto Sans" w:cs="Noto Sans"/>
          <w:rStyle w:val="normaltextrun"/>
        </w:rPr>
        <w:t xml:space="preserve">Eine interne Umsetzung von Projekten mag kosteneffizient erscheinen, dabei gilt es jedoch, versteckte Kosten zu berücksichtigen.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Die Entscheidung, wichtige Projekte im eigenen Unternehmen abzuwickeln, kann Mitarbeiter von ihren Kernaufgaben abhalten und die Produktivität in wichtigen Geschäftsbereichen verringern.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Darüber hinaus fehlen internen Teams möglicherweise die erforderlichen speziellen Fähigkeiten, Erfahrungen und Ressourcen, um komplexe Vakuumsystem-Projekte effizient umzusetzen.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Indem sie einen erfahrenen Lieferanten mit dem Projektmanagement betrauen, können Unternehmen von Fachwissen, Tools und branchenspezifischer Erfahrung profitieren, was letztlich zu einem optimierten Projektablauf und weniger unvorhergesehenen Problemen führt.</w:t>
      </w:r>
      <w:r>
        <w:rPr>
          <w:rFonts w:ascii="Noto Sans" w:hAnsi="Noto Sans" w:cs="Noto Sans"/>
          <w:rStyle w:val="normaltextrun"/>
        </w:rPr>
        <w:t xml:space="preserve"> </w:t>
      </w:r>
      <w:r>
        <w:rPr>
          <w:rFonts w:ascii="Noto Sans" w:hAnsi="Noto Sans" w:cs="Noto Sans"/>
          <w:rStyle w:val="eop"/>
        </w:rPr>
        <w:t xml:space="preserve"> </w:t>
      </w:r>
    </w:p>
    <w:p w14:paraId="4FA81CC1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 w:rsidRPr="00B763FE">
        <w:rPr>
          <w:rStyle w:val="eop"/>
          <w:rFonts w:ascii="Noto Sans" w:hAnsi="Noto Sans" w:cs="Noto Sans"/>
          <w:color w:val="FF0000"/>
          <w:lang w:val="en-US"/>
        </w:rPr>
        <w:t> </w:t>
      </w:r>
    </w:p>
    <w:p w14:paraId="7F63FB3D" w14:textId="3CF6A942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  <w:b/>
          <w:bCs/>
        </w:rPr>
        <w:br/>
        <w:t xml:space="preserve">Schwierigkeiten beim Erreichen des idealen Projektumfangs</w:t>
      </w:r>
    </w:p>
    <w:p w14:paraId="39AA5F47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</w:rPr>
        <w:t xml:space="preserve">Schlüsselfertige Projekte können begrenzte Optionen hinsichtlich ihres Umfangs bedeuten, wenn der Lieferant keine maßgeschneiderten Lösungen anbietet.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Ein kollaborativer Ansatz gewährleistet, dass Kunden die Kontrolle über die Festlegung des Projektumfangs und die Anpassung von Lösungen an spezifische Bedürfnisse haben.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Zusätzlich kann es für Kunden oft schwierig sein, die beste Lösung für ihre Bedürfnisse auszuwählen.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Am besten entscheiden Sie sich für einen Lieferanten, der den jeweiligen Wert der gebotenen Optionen durch RoI-Berechnungen demonstrieren kann sowie die Effizienz und Effektivität der einzelnen Optionen aufzeigt.</w:t>
      </w:r>
      <w:r>
        <w:rPr>
          <w:rFonts w:ascii="Noto Sans" w:hAnsi="Noto Sans" w:cs="Noto Sans"/>
          <w:rStyle w:val="eop"/>
        </w:rPr>
        <w:t xml:space="preserve"> </w:t>
      </w:r>
    </w:p>
    <w:p w14:paraId="5815F40B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 w:rsidRPr="00B763FE">
        <w:rPr>
          <w:rStyle w:val="eop"/>
          <w:rFonts w:ascii="Noto Sans" w:hAnsi="Noto Sans" w:cs="Noto Sans"/>
          <w:lang w:val="en-US"/>
        </w:rPr>
        <w:t> </w:t>
      </w:r>
    </w:p>
    <w:p w14:paraId="5D402E40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  <w:b/>
          <w:bCs/>
        </w:rPr>
        <w:t xml:space="preserve">Mangelnde Transparenz bei Auslegung und Bau</w:t>
      </w:r>
    </w:p>
    <w:p w14:paraId="023B2871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  <w:r>
        <w:rPr>
          <w:rFonts w:ascii="Noto Sans" w:hAnsi="Noto Sans" w:cs="Noto Sans"/>
          <w:rStyle w:val="normaltextrun"/>
        </w:rPr>
        <w:t xml:space="preserve">Bei schlüsselfertigen Projekten kann es manchmal an Transparenz fehlen, sodass es für die Kunden schwierig ist, Fortschritte nachzuvollziehen.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Zu einem kollaborativen Projektansatz gehören eine klare Kommunikation und regelmäßige Updates in allen Projektphasen, insbesondere während des Auslegungs- und Bauprozesses.</w:t>
      </w:r>
      <w:r>
        <w:rPr>
          <w:rFonts w:ascii="Noto Sans" w:hAnsi="Noto Sans" w:cs="Noto Sans"/>
          <w:rStyle w:val="normaltextrun"/>
        </w:rPr>
        <w:t xml:space="preserve"> </w:t>
      </w:r>
      <w:r>
        <w:rPr>
          <w:rFonts w:ascii="Noto Sans" w:hAnsi="Noto Sans" w:cs="Noto Sans"/>
          <w:rStyle w:val="eop"/>
        </w:rPr>
        <w:t xml:space="preserve"> </w:t>
      </w:r>
    </w:p>
    <w:p w14:paraId="328B2CB3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 w:rsidRPr="00B763FE">
        <w:rPr>
          <w:rStyle w:val="eop"/>
          <w:rFonts w:ascii="Noto Sans" w:hAnsi="Noto Sans" w:cs="Noto Sans"/>
          <w:sz w:val="22"/>
          <w:szCs w:val="22"/>
          <w:lang w:val="en-US"/>
        </w:rPr>
        <w:t> </w:t>
      </w:r>
    </w:p>
    <w:p w14:paraId="203EAAF8" w14:textId="5DC819F9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Fonts w:ascii="Noto Sans" w:hAnsi="Noto Sans" w:cs="Noto Sans"/>
          <w:rStyle w:val="normaltextrun"/>
          <w:b/>
          <w:bCs/>
          <w:sz w:val="28"/>
          <w:szCs w:val="28"/>
        </w:rPr>
        <w:t xml:space="preserve">Fazit</w:t>
      </w:r>
      <w:r>
        <w:rPr>
          <w:rFonts w:ascii="Noto Sans" w:hAnsi="Noto Sans" w:cs="Noto Sans"/>
          <w:rStyle w:val="eop"/>
          <w:sz w:val="28"/>
          <w:szCs w:val="28"/>
        </w:rPr>
        <w:t xml:space="preserve"> </w:t>
        <w:br/>
      </w:r>
    </w:p>
    <w:p w14:paraId="1F31B1B4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  <w:lang w:val="en-US"/>
        </w:rPr>
      </w:pPr>
      <w:r>
        <w:rPr>
          <w:rFonts w:ascii="Noto Sans" w:hAnsi="Noto Sans" w:cs="Noto Sans"/>
          <w:rStyle w:val="normaltextrun"/>
        </w:rPr>
        <w:t xml:space="preserve">Zusammenfassend lässt sich festhalten, dass schlüsselfertige Vakuumsysteme eine praktische und effiziente Lösung für Unternehmen darstellen, die ihren Betriebsablauf optimieren möchten.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Durch straffere Prozesse, geringere Kosten und gebündelte Verantwortung lassen sich mit schlüsselfertigen Lösungen viele der Herausforderungen meistern, die mit komplexen Industrieprojekten einhergehen.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Der Erfolg eines schlüsselfertigen Projekts hängt jedoch maßgeblich von der Wahl eines Partners ab, der Effizienz mit Flexibilität, Zusammenarbeit und einem hohen Qualitätsanspruch zu kombinieren weiß.</w:t>
      </w:r>
      <w:r>
        <w:rPr>
          <w:rFonts w:ascii="Noto Sans" w:hAnsi="Noto Sans" w:cs="Noto Sans"/>
          <w:rStyle w:val="eop"/>
        </w:rPr>
        <w:t xml:space="preserve"> </w:t>
      </w:r>
    </w:p>
    <w:p w14:paraId="507B166A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  <w:lang w:val="en-US"/>
        </w:rPr>
      </w:pPr>
      <w:r>
        <w:rPr>
          <w:rFonts w:ascii="Noto Sans" w:hAnsi="Noto Sans" w:cs="Noto Sans"/>
          <w:rStyle w:val="normaltextrun"/>
        </w:rPr>
        <w:t xml:space="preserve">Als ein führender Anbieter schlüsselfertiger Vakuumlösungen ist die weltweit agierende Busch Group in einer einzigartigen Position, dies zu erfüllen.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Busch verfolgt einen umfassenden Ansatz, der den gesamten Projektzyklus abdeckt, von der ersten Beratung bis zur Installation und darüber hinaus, um sicherzustellen, dass jedes Detail den Kundenbedürfnissen und Industriestandards entspricht.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Mit weitreichender Erfahrung, fortschrittlichen technischen Tools und einer weltweiten Erfolgsbilanz bei Implementierungen gewährleistet Busch hochwertige Ergebnisse, die die betrieblichen Anforderungen der Kunden erfüllen und ihre Erwartungen übertreffen.</w:t>
      </w:r>
      <w:r>
        <w:rPr>
          <w:rFonts w:ascii="Noto Sans" w:hAnsi="Noto Sans" w:cs="Noto Sans"/>
          <w:rStyle w:val="normaltextrun"/>
        </w:rPr>
        <w:t xml:space="preserve"> </w:t>
      </w:r>
      <w:r>
        <w:rPr>
          <w:rFonts w:ascii="Noto Sans" w:hAnsi="Noto Sans" w:cs="Noto Sans"/>
          <w:rStyle w:val="normaltextrun"/>
        </w:rPr>
        <w:t xml:space="preserve">Indem sie sich für die Busch Group – und damit für das Portfolio ihrer drei Marken Busch Vacuum Solutions, Pfeiffer Vacuum+Fab Solutions und centrotherm clean solutions – entscheiden, erhalten Kunden nicht nur eine schlüsselfertige Lösung, sondern auch einen engagierten Partner, der in der Lage ist, die Effizienz, die Zuverlässigkeit und den Gesamtwert ihrer Vakuumsystem-Projekte zu maximieren.</w:t>
      </w:r>
      <w:r>
        <w:rPr>
          <w:rFonts w:ascii="Noto Sans" w:hAnsi="Noto Sans" w:cs="Noto Sans"/>
          <w:rStyle w:val="eop"/>
        </w:rPr>
        <w:t xml:space="preserve"> </w:t>
      </w:r>
    </w:p>
    <w:p w14:paraId="1D17BA0D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 w:rsidRPr="00B763FE">
        <w:rPr>
          <w:rStyle w:val="eop"/>
          <w:rFonts w:ascii="Noto Sans" w:hAnsi="Noto Sans" w:cs="Noto Sans"/>
          <w:sz w:val="22"/>
          <w:szCs w:val="22"/>
          <w:lang w:val="en-US"/>
        </w:rPr>
        <w:t> </w:t>
      </w:r>
    </w:p>
    <w:p w14:paraId="32493A86" w14:textId="59892526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  <w:lang w:val="en-US"/>
        </w:rPr>
      </w:pPr>
      <w:r>
        <w:drawing>
          <wp:inline distT="0" distB="0" distL="0" distR="0" wp14:anchorId="02CF5CA1" wp14:editId="1A768A52">
            <wp:extent cx="5759450" cy="3228975"/>
            <wp:effectExtent l="0" t="0" r="0" b="9525"/>
            <wp:docPr id="88709313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sz w:val="22"/>
          <w:szCs w:val="22"/>
        </w:rPr>
        <w:br/>
      </w:r>
      <w:r>
        <w:rPr>
          <w:rFonts w:ascii="Noto Sans" w:hAnsi="Noto Sans" w:cs="Noto Sans"/>
          <w:rStyle w:val="normaltextrun"/>
          <w:i/>
          <w:iCs/>
        </w:rPr>
        <w:t xml:space="preserve">Schlüsselfertige Vakuumsysteme von der Konzeption bis zum Projektabschluss sind eine praktische und effiziente Lösung für Unternehmen, die ihren Betriebsablauf optimieren möchten.</w:t>
      </w:r>
      <w:r>
        <w:rPr>
          <w:rFonts w:ascii="Noto Sans" w:hAnsi="Noto Sans" w:cs="Noto Sans"/>
          <w:rStyle w:val="normaltextrun"/>
          <w:i/>
          <w:iCs/>
        </w:rPr>
        <w:t xml:space="preserve"> </w:t>
      </w:r>
      <w:r>
        <w:rPr>
          <w:rFonts w:ascii="Noto Sans" w:hAnsi="Noto Sans" w:cs="Noto Sans"/>
          <w:rStyle w:val="normaltextrun"/>
          <w:i/>
          <w:iCs/>
        </w:rPr>
        <w:t xml:space="preserve">Quelle: Busch Group.</w:t>
      </w:r>
      <w:r>
        <w:rPr>
          <w:rFonts w:ascii="Noto Sans" w:hAnsi="Noto Sans" w:cs="Noto Sans"/>
          <w:rStyle w:val="normaltextrun"/>
          <w:i/>
          <w:iCs/>
        </w:rPr>
        <w:t xml:space="preserve"> </w:t>
      </w:r>
      <w:r>
        <w:rPr>
          <w:rFonts w:ascii="Noto Sans" w:hAnsi="Noto Sans" w:cs="Noto Sans"/>
          <w:rStyle w:val="eop"/>
        </w:rPr>
        <w:t xml:space="preserve"> </w:t>
      </w:r>
    </w:p>
    <w:p w14:paraId="3E56EA31" w14:textId="77777777" w:rsidR="00B763FE" w:rsidRPr="00B763FE" w:rsidRDefault="00B763FE" w:rsidP="00B763F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Noto Sans" w:hAnsi="Noto Sans" w:cs="Noto Sans"/>
          <w:sz w:val="22"/>
          <w:szCs w:val="22"/>
          <w:lang w:val="en-GB"/>
        </w:rPr>
        <w:t> </w:t>
      </w:r>
      <w:r w:rsidRPr="00B763FE">
        <w:rPr>
          <w:rStyle w:val="eop"/>
          <w:rFonts w:ascii="Noto Sans" w:hAnsi="Noto Sans" w:cs="Noto Sans"/>
          <w:sz w:val="22"/>
          <w:szCs w:val="22"/>
          <w:lang w:val="en-US"/>
        </w:rPr>
        <w:t> </w:t>
      </w:r>
    </w:p>
    <w:p w14:paraId="5B2CD6A3" w14:textId="52B61A08" w:rsidR="00BB02D6" w:rsidRPr="005926B0" w:rsidRDefault="00BB02D6" w:rsidP="00BB02D6">
      <w:pPr>
        <w:rPr>
          <w:rFonts w:ascii="Noto Sans" w:hAnsi="Noto Sans" w:cs="Noto Sans"/>
          <w:b/>
          <w:bCs/>
          <w:sz w:val="24"/>
          <w:szCs w:val="24"/>
          <w:lang w:val="en-US"/>
        </w:rPr>
      </w:pPr>
      <w:r>
        <w:rPr>
          <w:rFonts w:ascii="Noto Sans" w:hAnsi="Noto Sans" w:cs="Noto Sans"/>
          <w:b/>
          <w:bCs/>
          <w:sz w:val="24"/>
          <w:szCs w:val="24"/>
        </w:rPr>
        <w:t xml:space="preserve">Über die Busch Group</w:t>
      </w:r>
    </w:p>
    <w:p w14:paraId="62331829" w14:textId="77777777" w:rsidR="001A17D8" w:rsidRDefault="001A17D8" w:rsidP="001A17D8">
      <w:pPr>
        <w:rPr>
          <w:rFonts w:ascii="Noto Sans" w:hAnsi="Noto Sans" w:cs="Noto Sans"/>
          <w:color w:val="000000"/>
          <w:sz w:val="24"/>
          <w:szCs w:val="24"/>
          <w:lang w:val="en-US"/>
        </w:rPr>
      </w:pPr>
      <w:r>
        <w:rPr>
          <w:rFonts w:ascii="Noto Sans" w:hAnsi="Noto Sans" w:cs="Noto Sans"/>
          <w:color w:val="000000"/>
          <w:sz w:val="24"/>
          <w:szCs w:val="24"/>
        </w:rPr>
        <w:t xml:space="preserve">Die Busch Group ist weltweit einer der größten Hersteller von Vakuumpumpen, Vakuumsystemen, Gebläsen, Kompressoren und Abgasreinigungssystemen.</w:t>
      </w:r>
      <w:r>
        <w:rPr>
          <w:rFonts w:ascii="Noto Sans" w:hAnsi="Noto Sans" w:cs="Noto Sans"/>
          <w:color w:val="000000"/>
          <w:sz w:val="24"/>
          <w:szCs w:val="24"/>
        </w:rPr>
        <w:t xml:space="preserve"> </w:t>
      </w:r>
      <w:r>
        <w:rPr>
          <w:rFonts w:ascii="Noto Sans" w:hAnsi="Noto Sans" w:cs="Noto Sans"/>
          <w:color w:val="000000"/>
          <w:sz w:val="24"/>
          <w:szCs w:val="24"/>
        </w:rPr>
        <w:t xml:space="preserve">Unter ihrem Dach vereint sie die drei bekannten Marken Busch Vacuum Solutions, Pfeiffer Vacuum+Fab Solutions und centrotherm clean solutions.</w:t>
      </w:r>
    </w:p>
    <w:p w14:paraId="5D32BAC7" w14:textId="77777777" w:rsidR="008114A6" w:rsidRDefault="008114A6" w:rsidP="001A17D8">
      <w:pPr>
        <w:rPr>
          <w:rFonts w:ascii="Noto Sans" w:hAnsi="Noto Sans" w:cs="Noto Sans"/>
          <w:color w:val="000000"/>
          <w:sz w:val="24"/>
          <w:szCs w:val="24"/>
          <w:lang w:val="en-US"/>
        </w:rPr>
      </w:pPr>
    </w:p>
    <w:p w14:paraId="7E3454FB" w14:textId="77777777" w:rsidR="001A17D8" w:rsidRDefault="001A17D8" w:rsidP="008114A6">
      <w:pPr>
        <w:spacing w:line="240" w:lineRule="auto"/>
        <w:rPr>
          <w:rFonts w:ascii="Noto Sans" w:hAnsi="Noto Sans" w:cs="Noto Sans"/>
          <w:color w:val="000000"/>
          <w:sz w:val="24"/>
          <w:szCs w:val="24"/>
          <w:lang w:val="en-US"/>
        </w:rPr>
      </w:pPr>
      <w:r>
        <w:rPr>
          <w:rFonts w:ascii="Noto Sans" w:hAnsi="Noto Sans" w:cs="Noto Sans"/>
          <w:color w:val="000000"/>
          <w:sz w:val="24"/>
          <w:szCs w:val="24"/>
        </w:rPr>
        <w:t xml:space="preserve">Das umfangreiche Produkt- und Dienstleistungsportfolio umfasst Lösungen für Vakuum-, Überdruck- und Abgasreinigungsanwendungen in sämtlichen Branchen, wie zum Beispiel Halbleiter, Lebensmittel, Analytik, Chemie und Kunststoff.</w:t>
      </w:r>
      <w:r>
        <w:rPr>
          <w:rFonts w:ascii="Noto Sans" w:hAnsi="Noto Sans" w:cs="Noto Sans"/>
          <w:color w:val="000000"/>
          <w:sz w:val="24"/>
          <w:szCs w:val="24"/>
        </w:rPr>
        <w:t xml:space="preserve"> </w:t>
      </w:r>
      <w:r>
        <w:rPr>
          <w:rFonts w:ascii="Noto Sans" w:hAnsi="Noto Sans" w:cs="Noto Sans"/>
          <w:color w:val="000000"/>
          <w:sz w:val="24"/>
          <w:szCs w:val="24"/>
        </w:rPr>
        <w:t xml:space="preserve">Dazu gehören auch die Konzeption und der Bau maßgeschneiderter Vakuumsysteme sowie ein weltweites Servicenetz.</w:t>
      </w:r>
      <w:r>
        <w:rPr>
          <w:rFonts w:ascii="Noto Sans" w:hAnsi="Noto Sans" w:cs="Noto Sans"/>
          <w:color w:val="000000"/>
          <w:sz w:val="24"/>
          <w:szCs w:val="24"/>
        </w:rPr>
        <w:t xml:space="preserve"> </w:t>
      </w:r>
    </w:p>
    <w:p w14:paraId="38AD2894" w14:textId="77777777" w:rsidR="001A17D8" w:rsidRPr="001A17D8" w:rsidRDefault="001A17D8" w:rsidP="001A17D8">
      <w:pPr>
        <w:rPr>
          <w:rFonts w:ascii="Noto Sans" w:hAnsi="Noto Sans" w:cs="Noto Sans"/>
          <w:color w:val="000000"/>
          <w:sz w:val="24"/>
          <w:szCs w:val="24"/>
          <w:lang w:val="en-US"/>
        </w:rPr>
      </w:pPr>
    </w:p>
    <w:p w14:paraId="65FA984B" w14:textId="77777777" w:rsidR="001A17D8" w:rsidRDefault="001A17D8" w:rsidP="001A17D8">
      <w:pPr>
        <w:rPr>
          <w:rFonts w:ascii="Noto Sans" w:hAnsi="Noto Sans" w:cs="Noto Sans"/>
          <w:color w:val="000000"/>
          <w:sz w:val="24"/>
          <w:szCs w:val="24"/>
          <w:lang w:val="en-US"/>
        </w:rPr>
      </w:pPr>
      <w:r>
        <w:rPr>
          <w:rFonts w:ascii="Noto Sans" w:hAnsi="Noto Sans" w:cs="Noto Sans"/>
          <w:color w:val="000000"/>
          <w:sz w:val="24"/>
          <w:szCs w:val="24"/>
        </w:rPr>
        <w:t xml:space="preserve">Die Busch Group ist ein Familienunternehmen, dessen Leitung in den Händen der Familie Busch liegt.</w:t>
      </w:r>
      <w:r>
        <w:rPr>
          <w:rFonts w:ascii="Noto Sans" w:hAnsi="Noto Sans" w:cs="Noto Sans"/>
          <w:color w:val="000000"/>
          <w:sz w:val="24"/>
          <w:szCs w:val="24"/>
        </w:rPr>
        <w:t xml:space="preserve"> </w:t>
      </w:r>
      <w:r>
        <w:rPr>
          <w:rFonts w:ascii="Noto Sans" w:hAnsi="Noto Sans" w:cs="Noto Sans"/>
          <w:color w:val="000000"/>
          <w:sz w:val="24"/>
          <w:szCs w:val="24"/>
        </w:rPr>
        <w:t xml:space="preserve">Mehr als 8.000 Mitarbeiter in 44 Ländern weltweit arbeiten für die Gruppe.</w:t>
      </w:r>
      <w:r>
        <w:rPr>
          <w:rFonts w:ascii="Noto Sans" w:hAnsi="Noto Sans" w:cs="Noto Sans"/>
          <w:color w:val="000000"/>
          <w:sz w:val="24"/>
          <w:szCs w:val="24"/>
        </w:rPr>
        <w:t xml:space="preserve"> </w:t>
      </w:r>
      <w:r>
        <w:rPr>
          <w:rFonts w:ascii="Noto Sans" w:hAnsi="Noto Sans" w:cs="Noto Sans"/>
          <w:color w:val="000000"/>
          <w:sz w:val="24"/>
          <w:szCs w:val="24"/>
        </w:rPr>
        <w:t xml:space="preserve">Der Hauptsitz von Busch befindet sich im baden-württembergischen Maulburg, im Dreiländereck Deutschland – Frankreich – Schweiz.</w:t>
      </w:r>
      <w:r>
        <w:rPr>
          <w:rFonts w:ascii="Noto Sans" w:hAnsi="Noto Sans" w:cs="Noto Sans"/>
          <w:color w:val="000000"/>
          <w:sz w:val="24"/>
          <w:szCs w:val="24"/>
        </w:rPr>
        <w:t xml:space="preserve"> </w:t>
      </w:r>
    </w:p>
    <w:p w14:paraId="59B16FFA" w14:textId="77777777" w:rsidR="001A17D8" w:rsidRDefault="001A17D8" w:rsidP="001A17D8">
      <w:pPr>
        <w:rPr>
          <w:rFonts w:ascii="Noto Sans" w:hAnsi="Noto Sans" w:cs="Noto Sans"/>
          <w:color w:val="000000"/>
          <w:sz w:val="24"/>
          <w:szCs w:val="24"/>
          <w:lang w:val="en-US"/>
        </w:rPr>
      </w:pPr>
    </w:p>
    <w:p w14:paraId="0721B7E5" w14:textId="77777777" w:rsidR="001A17D8" w:rsidRPr="001A17D8" w:rsidRDefault="001A17D8" w:rsidP="001A17D8">
      <w:pPr>
        <w:rPr>
          <w:rFonts w:ascii="Noto Sans" w:hAnsi="Noto Sans" w:cs="Noto Sans"/>
          <w:color w:val="000000"/>
          <w:sz w:val="24"/>
          <w:szCs w:val="24"/>
          <w:lang w:val="en-US"/>
        </w:rPr>
      </w:pPr>
      <w:r>
        <w:rPr>
          <w:rFonts w:ascii="Noto Sans" w:hAnsi="Noto Sans" w:cs="Noto Sans"/>
          <w:color w:val="000000"/>
          <w:sz w:val="24"/>
          <w:szCs w:val="24"/>
        </w:rPr>
        <w:t xml:space="preserve">Die Busch Group produziert in ihren 19 eigenen Werken in China, Deutschland, Frankreich, Großbritannien, Indien, Rumänien, der Schweiz, Südkorea, Tschechien, den USA und Vietnam.</w:t>
      </w:r>
    </w:p>
    <w:p w14:paraId="33987926" w14:textId="77777777" w:rsidR="001A17D8" w:rsidRPr="001A17D8" w:rsidRDefault="001A17D8" w:rsidP="001A17D8">
      <w:pPr>
        <w:rPr>
          <w:rFonts w:ascii="Noto Sans" w:hAnsi="Noto Sans" w:cs="Noto Sans"/>
          <w:color w:val="000000"/>
          <w:sz w:val="24"/>
          <w:szCs w:val="24"/>
          <w:lang w:val="en-US"/>
        </w:rPr>
      </w:pPr>
    </w:p>
    <w:p w14:paraId="7B6C800A" w14:textId="77777777" w:rsidR="00BB02D6" w:rsidRPr="008114A6" w:rsidRDefault="001A17D8" w:rsidP="00BB02D6">
      <w:pPr>
        <w:rPr>
          <w:rFonts w:ascii="Noto Sans" w:hAnsi="Noto Sans" w:cs="Noto Sans"/>
          <w:sz w:val="24"/>
          <w:szCs w:val="24"/>
          <w:lang w:val="en-US"/>
        </w:rPr>
      </w:pPr>
      <w:r>
        <w:rPr>
          <w:rFonts w:ascii="Noto Sans" w:hAnsi="Noto Sans" w:cs="Noto Sans"/>
          <w:color w:val="000000"/>
          <w:sz w:val="24"/>
          <w:szCs w:val="24"/>
        </w:rPr>
        <w:t xml:space="preserve">Sie hat einen konsolidierten Jahresumsatz von fast 2 Milliarden Euro.</w:t>
      </w:r>
    </w:p>
    <w:p w14:paraId="0C790CA7" w14:textId="77777777" w:rsidR="00AB7E94" w:rsidRPr="005926B0" w:rsidRDefault="00AB7E94">
      <w:pPr>
        <w:rPr>
          <w:rFonts w:ascii="Noto Sans" w:hAnsi="Noto Sans" w:cs="Noto Sans"/>
          <w:sz w:val="24"/>
          <w:szCs w:val="24"/>
          <w:lang w:val="en-US"/>
        </w:rPr>
      </w:pPr>
    </w:p>
    <w:p w14:paraId="1AE71074" w14:textId="77777777" w:rsidR="00764E8F" w:rsidRPr="005926B0" w:rsidRDefault="00764E8F">
      <w:pPr>
        <w:rPr>
          <w:rFonts w:ascii="Noto Sans" w:hAnsi="Noto Sans" w:cs="Noto Sans"/>
          <w:sz w:val="24"/>
          <w:szCs w:val="24"/>
          <w:lang w:val="en-US"/>
        </w:rPr>
      </w:pPr>
    </w:p>
    <w:p w14:paraId="2D6EE4F2" w14:textId="77777777" w:rsidR="00590182" w:rsidRPr="005926B0" w:rsidRDefault="00590182" w:rsidP="00590182">
      <w:pPr>
        <w:rPr>
          <w:rFonts w:ascii="Noto Sans" w:hAnsi="Noto Sans" w:cs="Noto Sans"/>
          <w:b/>
          <w:bCs/>
          <w:sz w:val="24"/>
          <w:szCs w:val="24"/>
          <w:lang w:val="en-US"/>
        </w:rPr>
      </w:pPr>
      <w:r>
        <w:rPr>
          <w:rFonts w:ascii="Noto Sans" w:hAnsi="Noto Sans" w:cs="Noto Sans"/>
          <w:b/>
          <w:bCs/>
          <w:sz w:val="24"/>
          <w:szCs w:val="24"/>
        </w:rPr>
        <w:t xml:space="preserve">Pressekontakt</w:t>
      </w:r>
    </w:p>
    <w:p w14:paraId="1251D13D" w14:textId="77777777" w:rsidR="00590182" w:rsidRPr="005926B0" w:rsidRDefault="00590182" w:rsidP="00590182">
      <w:pPr>
        <w:rPr>
          <w:rFonts w:ascii="Noto Sans" w:hAnsi="Noto Sans" w:cs="Noto Sans"/>
          <w:sz w:val="24"/>
          <w:szCs w:val="24"/>
          <w:lang w:val="en-US"/>
        </w:rPr>
      </w:pPr>
      <w:r>
        <w:rPr>
          <w:rFonts w:ascii="Noto Sans" w:hAnsi="Noto Sans" w:cs="Noto Sans"/>
          <w:sz w:val="24"/>
          <w:szCs w:val="24"/>
        </w:rPr>
        <w:t xml:space="preserve">Dr. Fabian Fahlbusch</w:t>
      </w:r>
    </w:p>
    <w:p w14:paraId="67D4C2E9" w14:textId="77777777" w:rsidR="00590182" w:rsidRPr="005926B0" w:rsidRDefault="00590182" w:rsidP="00590182">
      <w:pPr>
        <w:rPr>
          <w:rFonts w:ascii="Noto Sans" w:hAnsi="Noto Sans" w:cs="Noto Sans"/>
          <w:sz w:val="24"/>
          <w:szCs w:val="24"/>
          <w:lang w:val="en-US"/>
        </w:rPr>
      </w:pPr>
      <w:r>
        <w:rPr>
          <w:rFonts w:ascii="Noto Sans" w:hAnsi="Noto Sans" w:cs="Noto Sans"/>
          <w:sz w:val="24"/>
          <w:szCs w:val="24"/>
        </w:rPr>
        <w:t xml:space="preserve">Head of Content and Communications</w:t>
      </w:r>
    </w:p>
    <w:p w14:paraId="684655DC" w14:textId="77777777" w:rsidR="00590182" w:rsidRPr="005926B0" w:rsidRDefault="00590182" w:rsidP="00590182">
      <w:pPr>
        <w:rPr>
          <w:rFonts w:ascii="Noto Sans" w:hAnsi="Noto Sans" w:cs="Noto Sans"/>
          <w:sz w:val="24"/>
          <w:szCs w:val="24"/>
        </w:rPr>
      </w:pPr>
      <w:r>
        <w:rPr>
          <w:rFonts w:ascii="Noto Sans" w:hAnsi="Noto Sans" w:cs="Noto Sans"/>
          <w:sz w:val="24"/>
          <w:szCs w:val="24"/>
        </w:rPr>
        <w:t xml:space="preserve">Busch Vacuum Solutions</w:t>
      </w:r>
    </w:p>
    <w:p w14:paraId="6D58C45E" w14:textId="77777777" w:rsidR="00590182" w:rsidRPr="005926B0" w:rsidRDefault="00590182" w:rsidP="00590182">
      <w:pPr>
        <w:rPr>
          <w:rFonts w:ascii="Noto Sans" w:hAnsi="Noto Sans" w:cs="Noto Sans"/>
          <w:sz w:val="24"/>
          <w:szCs w:val="24"/>
        </w:rPr>
      </w:pPr>
      <w:r>
        <w:rPr>
          <w:rFonts w:ascii="Noto Sans" w:hAnsi="Noto Sans" w:cs="Noto Sans"/>
          <w:sz w:val="24"/>
          <w:szCs w:val="24"/>
        </w:rPr>
        <w:t xml:space="preserve">Schauinslandstraße 1</w:t>
      </w:r>
    </w:p>
    <w:p w14:paraId="01723620" w14:textId="77777777" w:rsidR="00590182" w:rsidRPr="005926B0" w:rsidRDefault="00590182" w:rsidP="00590182">
      <w:pPr>
        <w:rPr>
          <w:rFonts w:ascii="Noto Sans" w:hAnsi="Noto Sans" w:cs="Noto Sans"/>
          <w:sz w:val="24"/>
          <w:szCs w:val="24"/>
        </w:rPr>
      </w:pPr>
      <w:r>
        <w:rPr>
          <w:rFonts w:ascii="Noto Sans" w:hAnsi="Noto Sans" w:cs="Noto Sans"/>
          <w:sz w:val="24"/>
          <w:szCs w:val="24"/>
        </w:rPr>
        <w:t xml:space="preserve">D-79689 Maulburg</w:t>
      </w:r>
    </w:p>
    <w:p w14:paraId="1593135D" w14:textId="77777777" w:rsidR="00590182" w:rsidRPr="005926B0" w:rsidRDefault="00590182" w:rsidP="00590182">
      <w:pPr>
        <w:rPr>
          <w:rFonts w:ascii="Noto Sans" w:hAnsi="Noto Sans" w:cs="Noto Sans"/>
          <w:sz w:val="24"/>
          <w:szCs w:val="24"/>
        </w:rPr>
      </w:pPr>
    </w:p>
    <w:p w14:paraId="465A90EE" w14:textId="77777777" w:rsidR="00590182" w:rsidRPr="005926B0" w:rsidRDefault="00590182" w:rsidP="00590182">
      <w:pPr>
        <w:rPr>
          <w:rFonts w:ascii="Noto Sans" w:hAnsi="Noto Sans" w:cs="Noto Sans"/>
          <w:sz w:val="24"/>
          <w:szCs w:val="24"/>
        </w:rPr>
      </w:pPr>
      <w:r>
        <w:rPr>
          <w:rFonts w:ascii="Noto Sans" w:hAnsi="Noto Sans" w:cs="Noto Sans"/>
          <w:sz w:val="24"/>
          <w:szCs w:val="24"/>
        </w:rPr>
        <w:t xml:space="preserve">+49 (0)7622 681 - 3379</w:t>
      </w:r>
    </w:p>
    <w:p w14:paraId="1B76DE01" w14:textId="77777777" w:rsidR="00590182" w:rsidRPr="005926B0" w:rsidRDefault="00590182" w:rsidP="00590182">
      <w:pPr>
        <w:rPr>
          <w:rFonts w:ascii="Noto Sans" w:hAnsi="Noto Sans" w:cs="Noto Sans"/>
          <w:sz w:val="24"/>
          <w:szCs w:val="24"/>
        </w:rPr>
      </w:pPr>
      <w:r>
        <w:rPr>
          <w:rFonts w:ascii="Noto Sans" w:hAnsi="Noto Sans" w:cs="Noto Sans"/>
          <w:sz w:val="24"/>
          <w:szCs w:val="24"/>
        </w:rPr>
        <w:t xml:space="preserve">fabian.fahlbusch@busch.de</w:t>
      </w:r>
    </w:p>
    <w:p w14:paraId="3A2F9EEF" w14:textId="77777777" w:rsidR="00590182" w:rsidRDefault="004D25AE" w:rsidP="00590182">
      <w:pPr>
        <w:rPr>
          <w:rFonts w:ascii="Noto Sans" w:hAnsi="Noto Sans" w:cs="Noto Sans"/>
          <w:sz w:val="24"/>
          <w:szCs w:val="24"/>
        </w:rPr>
      </w:pPr>
      <w:hyperlink r:id="rId10" w:history="1" w:tooltip="">
        <w:r>
          <w:rPr>
            <w:rFonts w:ascii="Noto Sans" w:hAnsi="Noto Sans" w:cs="Noto Sans"/>
            <w:rStyle w:val="Hyperlink"/>
            <w:sz w:val="24"/>
            <w:szCs w:val="24"/>
          </w:rPr>
          <w:t xml:space="preserve">www.buschvacuum.com</w:t>
        </w:r>
      </w:hyperlink>
    </w:p>
    <w:p w14:paraId="4FF1171B" w14:textId="77777777" w:rsidR="009F616C" w:rsidRPr="005926B0" w:rsidRDefault="009F616C" w:rsidP="00590182">
      <w:pPr>
        <w:rPr>
          <w:rFonts w:ascii="Noto Sans" w:hAnsi="Noto Sans" w:cs="Noto Sans"/>
          <w:sz w:val="24"/>
          <w:szCs w:val="24"/>
        </w:rPr>
      </w:pPr>
      <w:r>
        <w:rPr>
          <w:rFonts w:ascii="Noto Sans" w:hAnsi="Noto Sans" w:cs="Noto Sans"/>
          <w:sz w:val="24"/>
          <w:szCs w:val="24"/>
        </w:rPr>
        <w:t xml:space="preserve">www.buschgroup.com</w:t>
      </w:r>
    </w:p>
    <w:p w14:paraId="6F10504E" w14:textId="77777777" w:rsidR="00764E8F" w:rsidRPr="005926B0" w:rsidRDefault="00764E8F">
      <w:pPr>
        <w:rPr>
          <w:rFonts w:ascii="Noto Sans" w:hAnsi="Noto Sans" w:cs="Noto Sans"/>
          <w:sz w:val="24"/>
          <w:szCs w:val="24"/>
        </w:rPr>
      </w:pPr>
    </w:p>
    <w:sectPr w:rsidR="00764E8F" w:rsidRPr="005926B0" w:rsidSect="00CF2199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701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A33FC" w14:textId="77777777" w:rsidR="00B763FE" w:rsidRDefault="00B763FE" w:rsidP="003B5AF2">
      <w:pPr>
        <w:spacing w:line="240" w:lineRule="auto"/>
      </w:pPr>
      <w:r>
        <w:separator/>
      </w:r>
    </w:p>
  </w:endnote>
  <w:endnote w:type="continuationSeparator" w:id="0">
    <w:p w14:paraId="5AA60C81" w14:textId="77777777" w:rsidR="00B763FE" w:rsidRDefault="00B763FE" w:rsidP="003B5A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1ECB7" w14:textId="77777777" w:rsidR="003B5AF2" w:rsidRDefault="003B5AF2">
    <w:pPr>
      <w:pStyle w:val="Footer"/>
      <w:jc w:val="center"/>
    </w:pPr>
    <w:r>
      <w:rPr/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554A5" w14:textId="77777777" w:rsidR="008D2D57" w:rsidRDefault="008D2D57">
    <w:pPr>
      <w:pStyle w:val="Footer"/>
      <w:jc w:val="center"/>
    </w:pPr>
    <w:r>
      <w:rPr/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2CFFB" w14:textId="77777777" w:rsidR="00B763FE" w:rsidRDefault="00B763FE" w:rsidP="003B5AF2">
      <w:pPr>
        <w:spacing w:line="240" w:lineRule="auto"/>
      </w:pPr>
      <w:r>
        <w:separator/>
      </w:r>
    </w:p>
  </w:footnote>
  <w:footnote w:type="continuationSeparator" w:id="0">
    <w:p w14:paraId="73BE28EC" w14:textId="77777777" w:rsidR="00B763FE" w:rsidRDefault="00B763FE" w:rsidP="003B5A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1F141" w14:textId="77777777" w:rsidR="003B5AF2" w:rsidRPr="003B5AF2" w:rsidRDefault="008A3E8D" w:rsidP="003B5AF2">
    <w:pPr>
      <w:pStyle w:val="Header"/>
      <w:jc w:val="right"/>
      <w:rPr>
        <w:rFonts w:ascii="Noto Sans" w:hAnsi="Noto Sans" w:cs="Noto Sans"/>
        <w:sz w:val="20"/>
        <w:szCs w:val="20"/>
      </w:rPr>
    </w:pPr>
    <w:r w:rsidRPr="008A3E8D">
      <w:rPr>
        <w:rFonts w:ascii="Noto Sans" w:hAnsi="Noto Sans" w:cs="Noto Sans"/>
        <w:noProof/>
        <w:sz w:val="19"/>
        <w:szCs w:val="19"/>
      </w:rPr>
      <w:drawing>
        <wp:anchor distT="0" distB="0" distL="114300" distR="114300" simplePos="0" relativeHeight="251662848" behindDoc="1" locked="1" layoutInCell="1" allowOverlap="1" wp14:anchorId="404EE1FC" wp14:editId="2D40455F">
          <wp:simplePos x="0" y="0"/>
          <wp:positionH relativeFrom="column">
            <wp:posOffset>-892810</wp:posOffset>
          </wp:positionH>
          <wp:positionV relativeFrom="paragraph">
            <wp:posOffset>-450215</wp:posOffset>
          </wp:positionV>
          <wp:extent cx="7556400" cy="10688400"/>
          <wp:effectExtent l="0" t="0" r="6985" b="0"/>
          <wp:wrapNone/>
          <wp:docPr id="1756316924" name="Grafik 17563169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6565320" name="Grafik 4465653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1068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A3E8D">
      <w:rPr>
        <w:rFonts w:ascii="Noto Sans" w:hAnsi="Noto Sans" w:cs="Noto Sans"/>
        <w:noProof/>
        <w:sz w:val="19"/>
        <w:szCs w:val="19"/>
      </w:rPr>
      <w:drawing>
        <wp:anchor distT="0" distB="0" distL="114300" distR="114300" simplePos="0" relativeHeight="251660800" behindDoc="1" locked="1" layoutInCell="1" allowOverlap="1" wp14:anchorId="15B20DF4" wp14:editId="6ACE0535">
          <wp:simplePos x="0" y="0"/>
          <wp:positionH relativeFrom="column">
            <wp:posOffset>-899795</wp:posOffset>
          </wp:positionH>
          <wp:positionV relativeFrom="paragraph">
            <wp:posOffset>10379075</wp:posOffset>
          </wp:positionV>
          <wp:extent cx="7557135" cy="10689590"/>
          <wp:effectExtent l="0" t="0" r="5715" b="0"/>
          <wp:wrapNone/>
          <wp:docPr id="48401710" name="Grafik 484017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6565320" name="Grafik 4465653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7135" cy="10689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4BE87" w14:textId="77777777" w:rsidR="008D2D57" w:rsidRPr="006835BB" w:rsidRDefault="008114A6" w:rsidP="006835BB">
    <w:pPr>
      <w:pStyle w:val="Header"/>
    </w:pPr>
    <w:r w:rsidRPr="008114A6">
      <w:rPr>
        <w:rFonts w:ascii="Noto Sans" w:hAnsi="Noto Sans" w:cs="Noto Sans"/>
        <w:noProof/>
        <w:sz w:val="19"/>
        <w:szCs w:val="19"/>
      </w:rPr>
      <w:drawing>
        <wp:anchor distT="0" distB="0" distL="114300" distR="114300" simplePos="0" relativeHeight="251658752" behindDoc="1" locked="1" layoutInCell="1" allowOverlap="1" wp14:anchorId="7CAAAB9A" wp14:editId="3A861BC5">
          <wp:simplePos x="0" y="0"/>
          <wp:positionH relativeFrom="column">
            <wp:posOffset>-893115</wp:posOffset>
          </wp:positionH>
          <wp:positionV relativeFrom="paragraph">
            <wp:posOffset>-450215</wp:posOffset>
          </wp:positionV>
          <wp:extent cx="7556400" cy="10688400"/>
          <wp:effectExtent l="0" t="0" r="6985" b="0"/>
          <wp:wrapNone/>
          <wp:docPr id="446565320" name="Grafik 4465653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6565320" name="Grafik 4465653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1068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35BB">
      <w:rPr>
        <w:noProof/>
      </w:rPr>
      <w:drawing>
        <wp:anchor distT="0" distB="0" distL="114300" distR="114300" simplePos="0" relativeHeight="251657728" behindDoc="1" locked="0" layoutInCell="1" allowOverlap="1" wp14:anchorId="45E432E7" wp14:editId="5E8195B1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3313" cy="914400"/>
          <wp:effectExtent l="0" t="0" r="0" b="0"/>
          <wp:wrapNone/>
          <wp:docPr id="1026743891" name="Grafik 1" descr="Ein Bild, das Screenshot,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743891" name="Grafik 1" descr="Ein Bild, das Screenshot, Text enthält.&#10;&#10;Automatisch generierte Beschreibu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441"/>
                  <a:stretch/>
                </pic:blipFill>
                <pic:spPr bwMode="auto">
                  <a:xfrm>
                    <a:off x="0" y="0"/>
                    <a:ext cx="7553325" cy="91440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3FE"/>
    <w:rsid w:val="000750A3"/>
    <w:rsid w:val="000B05C3"/>
    <w:rsid w:val="00170074"/>
    <w:rsid w:val="001A17D8"/>
    <w:rsid w:val="0020298F"/>
    <w:rsid w:val="0022248B"/>
    <w:rsid w:val="002334B6"/>
    <w:rsid w:val="003B5AF2"/>
    <w:rsid w:val="00454B19"/>
    <w:rsid w:val="004B2670"/>
    <w:rsid w:val="004D25AE"/>
    <w:rsid w:val="00535E9C"/>
    <w:rsid w:val="00590182"/>
    <w:rsid w:val="005926B0"/>
    <w:rsid w:val="005F3F4F"/>
    <w:rsid w:val="005F5989"/>
    <w:rsid w:val="006835BB"/>
    <w:rsid w:val="006D5244"/>
    <w:rsid w:val="006F22DE"/>
    <w:rsid w:val="00724E95"/>
    <w:rsid w:val="00764E8F"/>
    <w:rsid w:val="00805DBF"/>
    <w:rsid w:val="008106C2"/>
    <w:rsid w:val="008114A6"/>
    <w:rsid w:val="008A3E8D"/>
    <w:rsid w:val="008D2D57"/>
    <w:rsid w:val="009F616C"/>
    <w:rsid w:val="00A11AD1"/>
    <w:rsid w:val="00AA157D"/>
    <w:rsid w:val="00AB7E94"/>
    <w:rsid w:val="00B763FE"/>
    <w:rsid w:val="00BB02D6"/>
    <w:rsid w:val="00BC26AB"/>
    <w:rsid w:val="00BD2693"/>
    <w:rsid w:val="00CF2199"/>
    <w:rsid w:val="00DC247A"/>
    <w:rsid w:val="00F5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7E2FCC"/>
  <w15:chartTrackingRefBased/>
  <w15:docId w15:val="{39E1512D-0871-4E73-B962-04B578E22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  <w:rPr>
      <w:rFonts w:ascii="Calibri" w:hAnsi="Calibri"/>
    </w:rPr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rPr>
      <w:rFonts w:ascii="Calibri" w:hAnsi="Calibri"/>
    </w:r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5AF2"/>
    <w:pPr>
      <w:tabs>
        <w:tab w:val="center" w:pos="4536"/>
        <w:tab w:val="right" w:pos="9072"/>
      </w:tabs>
      <w:spacing w:line="240" w:lineRule="auto"/>
    </w:pPr>
    <w:rPr>
      <w:rFonts w:ascii="Calibri" w:hAnsi="Calibri"/>
    </w:rPr>
  </w:style>
  <w:style w:type="character" w:customStyle="1" w:styleId="HeaderChar">
    <w:name w:val="Header Char"/>
    <w:basedOn w:val="DefaultParagraphFont"/>
    <w:link w:val="Header"/>
    <w:uiPriority w:val="99"/>
    <w:rsid w:val="003B5AF2"/>
    <w:rPr>
      <w:rFonts w:ascii="Calibri" w:hAnsi="Calibri"/>
    </w:rPr>
  </w:style>
  <w:style w:type="paragraph" w:styleId="Footer">
    <w:name w:val="footer"/>
    <w:basedOn w:val="Normal"/>
    <w:link w:val="FooterChar"/>
    <w:uiPriority w:val="99"/>
    <w:unhideWhenUsed/>
    <w:rsid w:val="003B5AF2"/>
    <w:pPr>
      <w:tabs>
        <w:tab w:val="center" w:pos="4536"/>
        <w:tab w:val="right" w:pos="9072"/>
      </w:tabs>
      <w:spacing w:line="240" w:lineRule="auto"/>
    </w:pPr>
    <w:rPr>
      <w:rFonts w:ascii="Calibri" w:hAnsi="Calibri"/>
    </w:rPr>
  </w:style>
  <w:style w:type="character" w:customStyle="1" w:styleId="FooterChar">
    <w:name w:val="Footer Char"/>
    <w:basedOn w:val="DefaultParagraphFont"/>
    <w:link w:val="Footer"/>
    <w:uiPriority w:val="99"/>
    <w:rsid w:val="003B5AF2"/>
    <w:rPr>
      <w:rFonts w:ascii="Calibri" w:hAnsi="Calibri"/>
    </w:rPr>
  </w:style>
  <w:style w:type="character" w:styleId="CommentReference">
    <w:name w:val="annotation reference"/>
    <w:uiPriority w:val="99"/>
    <w:semiHidden/>
    <w:unhideWhenUsed/>
    <w:rsid w:val="008D2D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2D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8D2D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2D5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D2D57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F61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616C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B763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eop">
    <w:name w:val="eop"/>
    <w:basedOn w:val="DefaultParagraphFont"/>
    <w:rsid w:val="00B763FE"/>
    <w:rPr>
      <w:rFonts w:ascii="Calibri" w:hAnsi="Calibri"/>
    </w:rPr>
  </w:style>
  <w:style w:type="character" w:customStyle="1" w:styleId="normaltextrun">
    <w:name w:val="normaltextrun"/>
    <w:basedOn w:val="DefaultParagraphFont"/>
    <w:rsid w:val="00B763FE"/>
    <w:rPr>
      <w:rFonts w:ascii="Calibri" w:hAnsi="Calibri"/>
    </w:rPr>
  </w:style>
  <w:style w:type="character" w:customStyle="1" w:styleId="scxw166901129">
    <w:name w:val="scxw166901129"/>
    <w:basedOn w:val="DefaultParagraphFont"/>
    <w:rsid w:val="00B763FE"/>
    <w:rPr>
      <w:rFonts w:ascii="Calibri" w:hAnsi="Calibri"/>
    </w:rPr>
  </w:style>
  <w:style w:type="character" w:customStyle="1" w:styleId="wacimagecontainer">
    <w:name w:val="wacimagecontainer"/>
    <w:basedOn w:val="DefaultParagraphFont"/>
    <w:rsid w:val="00B763FE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9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5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8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5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2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7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4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81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8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2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3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9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3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2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2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1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8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4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2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8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4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1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5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5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8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8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4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0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7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9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4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1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1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2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5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2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5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6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2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7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7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3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buschvacuum.com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ECK-S\Downloads\ARTICLE_Turnkey-Vacuum-Systems_final_EN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9e4f9f-f57a-44ca-a7e9-35e6ef17bb21" xsi:nil="true"/>
    <lcf76f155ced4ddcb4097134ff3c332f xmlns="cc45df9b-0ef5-4ec9-8ac5-a41563e1857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E220D1E9072C4F928EE74CBF1B13D4" ma:contentTypeVersion="13" ma:contentTypeDescription="Create a new document." ma:contentTypeScope="" ma:versionID="8497b84943153b5970e7f6f27337cc73">
  <xsd:schema xmlns:xsd="http://www.w3.org/2001/XMLSchema" xmlns:xs="http://www.w3.org/2001/XMLSchema" xmlns:p="http://schemas.microsoft.com/office/2006/metadata/properties" xmlns:ns2="cc45df9b-0ef5-4ec9-8ac5-a41563e18579" xmlns:ns3="8f9e4f9f-f57a-44ca-a7e9-35e6ef17bb21" targetNamespace="http://schemas.microsoft.com/office/2006/metadata/properties" ma:root="true" ma:fieldsID="3be2aed28c0837fa1e720fb4437bd66f" ns2:_="" ns3:_="">
    <xsd:import namespace="cc45df9b-0ef5-4ec9-8ac5-a41563e18579"/>
    <xsd:import namespace="8f9e4f9f-f57a-44ca-a7e9-35e6ef17bb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45df9b-0ef5-4ec9-8ac5-a41563e185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63122e7-982b-454a-87f0-5747296ca4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9e4f9f-f57a-44ca-a7e9-35e6ef17bb2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3a2652b-7829-4203-99fb-657575cf95e5}" ma:internalName="TaxCatchAll" ma:showField="CatchAllData" ma:web="8f9e4f9f-f57a-44ca-a7e9-35e6ef17bb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F8B0DD-4748-4613-825E-5459CC01E5A6}">
  <ds:schemaRefs>
    <ds:schemaRef ds:uri="http://schemas.microsoft.com/office/2006/metadata/properties"/>
    <ds:schemaRef ds:uri="http://schemas.microsoft.com/office/infopath/2007/PartnerControls"/>
    <ds:schemaRef ds:uri="8f9e4f9f-f57a-44ca-a7e9-35e6ef17bb21"/>
    <ds:schemaRef ds:uri="cc45df9b-0ef5-4ec9-8ac5-a41563e18579"/>
  </ds:schemaRefs>
</ds:datastoreItem>
</file>

<file path=customXml/itemProps2.xml><?xml version="1.0" encoding="utf-8"?>
<ds:datastoreItem xmlns:ds="http://schemas.openxmlformats.org/officeDocument/2006/customXml" ds:itemID="{2C45E851-1CD2-4ADA-9D5A-8F92F4BFD7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74DB38-9867-4169-8EC4-FE2E5AE7ECD0}"/>
</file>

<file path=docProps/app.xml><?xml version="1.0" encoding="utf-8"?>
<Properties xmlns="http://schemas.openxmlformats.org/officeDocument/2006/extended-properties" xmlns:vt="http://schemas.openxmlformats.org/officeDocument/2006/docPropsVTypes">
  <Template>ARTICLE_Turnkey-Vacuum-Systems_final_EN.dotx</Template>
  <TotalTime>0</TotalTime>
  <Pages>5</Pages>
  <Words>1170</Words>
  <Characters>7211</Characters>
  <Application>Microsoft Office Word</Application>
  <DocSecurity>0</DocSecurity>
  <Lines>163</Lines>
  <Paragraphs>51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Höck</dc:creator>
  <cp:keywords/>
  <dc:description/>
  <cp:lastModifiedBy>Sandra Höck</cp:lastModifiedBy>
  <cp:revision>2</cp:revision>
  <dcterms:created xsi:type="dcterms:W3CDTF">2024-11-21T14:08:00Z</dcterms:created>
  <dcterms:modified xsi:type="dcterms:W3CDTF">2024-11-21T14:08:00Z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0x0101008FE220D1E9072C4F928EE74CBF1B13D4</vt:lpwstr>
  </property>
  <property fmtid="{D5CDD505-2E9C-101B-9397-08002B2CF9AE}" pid="3" name="MediaServiceImageTags">
    <vt:lpwstr/>
  </property>
</Properties>
</file>